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CB3015">
      <w:pPr>
        <w:widowControl w:val="0"/>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CB3015">
      <w:pPr>
        <w:widowControl w:val="0"/>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CB3015">
      <w:pPr>
        <w:widowControl w:val="0"/>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56B44C59" w:rsidR="003E3FA5" w:rsidRDefault="003E3FA5" w:rsidP="00CB3015">
      <w:pPr>
        <w:widowControl w:val="0"/>
        <w:spacing w:after="0" w:line="240" w:lineRule="auto"/>
        <w:rPr>
          <w:rFonts w:ascii="Times New Roman" w:eastAsia="Times New Roman" w:hAnsi="Times New Roman" w:cs="Times New Roman"/>
          <w:sz w:val="24"/>
          <w:szCs w:val="20"/>
        </w:rPr>
      </w:pPr>
    </w:p>
    <w:p w14:paraId="5DE1DA68" w14:textId="77777777" w:rsidR="00B80159" w:rsidRPr="003E3FA5" w:rsidRDefault="00B80159" w:rsidP="00CB3015">
      <w:pPr>
        <w:widowControl w:val="0"/>
        <w:spacing w:after="0" w:line="240" w:lineRule="auto"/>
        <w:rPr>
          <w:rFonts w:ascii="Times New Roman" w:eastAsia="Times New Roman" w:hAnsi="Times New Roman" w:cs="Times New Roman"/>
          <w:sz w:val="24"/>
          <w:szCs w:val="20"/>
        </w:rPr>
      </w:pPr>
    </w:p>
    <w:p w14:paraId="3F1E98ED" w14:textId="13ED389C" w:rsidR="00D4732B" w:rsidRPr="003E3FA5" w:rsidRDefault="00D4732B" w:rsidP="009D7FFD">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8226D4">
        <w:rPr>
          <w:rFonts w:ascii="Times New Roman" w:eastAsia="Times New Roman" w:hAnsi="Times New Roman" w:cs="Times New Roman"/>
          <w:sz w:val="24"/>
          <w:szCs w:val="24"/>
        </w:rPr>
        <w:t>Margaux Fox</w:t>
      </w:r>
      <w:r w:rsidR="001F4ACA">
        <w:rPr>
          <w:rFonts w:ascii="Times New Roman" w:eastAsia="Times New Roman" w:hAnsi="Times New Roman" w:cs="Times New Roman"/>
          <w:sz w:val="24"/>
          <w:szCs w:val="24"/>
        </w:rPr>
        <w:t>, Attorney</w:t>
      </w:r>
      <w:r>
        <w:rPr>
          <w:rFonts w:ascii="Times New Roman" w:eastAsia="Times New Roman" w:hAnsi="Times New Roman" w:cs="Times New Roman"/>
          <w:sz w:val="24"/>
          <w:szCs w:val="24"/>
        </w:rPr>
        <w:t xml:space="preserve"> </w:t>
      </w:r>
    </w:p>
    <w:p w14:paraId="13DDA107" w14:textId="77777777" w:rsidR="00D4732B" w:rsidRPr="003E3FA5" w:rsidRDefault="00D4732B" w:rsidP="009D7FFD">
      <w:pPr>
        <w:widowControl w:val="0"/>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p>
    <w:p w14:paraId="387756B8" w14:textId="77777777" w:rsidR="00D4732B" w:rsidRPr="003E3FA5" w:rsidRDefault="00D4732B" w:rsidP="009D7FFD">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1393074D" w14:textId="5F1F7305" w:rsidR="00D4732B" w:rsidRPr="003E3FA5" w:rsidRDefault="00D4732B" w:rsidP="009D7FFD">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002B5EEA">
        <w:rPr>
          <w:rFonts w:ascii="Times New Roman" w:eastAsia="Times New Roman" w:hAnsi="Times New Roman" w:cs="Times New Roman"/>
          <w:sz w:val="24"/>
          <w:szCs w:val="24"/>
        </w:rPr>
        <w:t>Fred Bednarski III</w:t>
      </w:r>
      <w:r w:rsidR="001F4ACA">
        <w:rPr>
          <w:rFonts w:ascii="Times New Roman" w:eastAsia="Times New Roman" w:hAnsi="Times New Roman" w:cs="Times New Roman"/>
          <w:sz w:val="24"/>
          <w:szCs w:val="24"/>
        </w:rPr>
        <w:t xml:space="preserve">, </w:t>
      </w:r>
      <w:r w:rsidR="00CB39E8">
        <w:rPr>
          <w:rFonts w:ascii="Times New Roman" w:eastAsia="Times New Roman" w:hAnsi="Times New Roman" w:cs="Times New Roman"/>
          <w:sz w:val="24"/>
          <w:szCs w:val="24"/>
        </w:rPr>
        <w:t>Financial Analyst</w:t>
      </w:r>
      <w:r w:rsidRPr="003E3FA5">
        <w:rPr>
          <w:rFonts w:ascii="Times New Roman" w:eastAsia="Times New Roman" w:hAnsi="Times New Roman" w:cs="Times New Roman"/>
          <w:sz w:val="24"/>
          <w:szCs w:val="24"/>
        </w:rPr>
        <w:t xml:space="preserve"> </w:t>
      </w:r>
    </w:p>
    <w:p w14:paraId="0A8BCA40" w14:textId="77777777" w:rsidR="00D4732B" w:rsidRPr="003E3FA5" w:rsidRDefault="00D4732B" w:rsidP="009D7FFD">
      <w:pPr>
        <w:widowControl w:val="0"/>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2FDAB259" w14:textId="77777777" w:rsidR="00D4732B" w:rsidRPr="003E3FA5" w:rsidRDefault="00D4732B" w:rsidP="009D7FFD">
      <w:pPr>
        <w:widowControl w:val="0"/>
        <w:spacing w:after="0" w:line="240" w:lineRule="auto"/>
        <w:jc w:val="both"/>
        <w:rPr>
          <w:rFonts w:ascii="Times New Roman" w:eastAsia="Times New Roman" w:hAnsi="Times New Roman" w:cs="Times New Roman"/>
          <w:sz w:val="24"/>
          <w:szCs w:val="24"/>
        </w:rPr>
      </w:pPr>
    </w:p>
    <w:p w14:paraId="73F8C38A" w14:textId="446E357C" w:rsidR="00D4732B" w:rsidRPr="003E3FA5" w:rsidRDefault="00D4732B" w:rsidP="009D7FFD">
      <w:pPr>
        <w:widowControl w:val="0"/>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1F4ACA">
        <w:rPr>
          <w:rFonts w:ascii="Times New Roman" w:eastAsia="Times New Roman" w:hAnsi="Times New Roman" w:cs="Times New Roman"/>
          <w:sz w:val="24"/>
          <w:szCs w:val="24"/>
        </w:rPr>
        <w:t>August</w:t>
      </w:r>
      <w:r>
        <w:rPr>
          <w:rFonts w:ascii="Times New Roman" w:eastAsia="Times New Roman" w:hAnsi="Times New Roman" w:cs="Times New Roman"/>
          <w:sz w:val="24"/>
          <w:szCs w:val="24"/>
        </w:rPr>
        <w:t xml:space="preserve"> </w:t>
      </w:r>
      <w:r w:rsidR="001F4ACA">
        <w:rPr>
          <w:rFonts w:ascii="Times New Roman" w:eastAsia="Times New Roman" w:hAnsi="Times New Roman" w:cs="Times New Roman"/>
          <w:sz w:val="24"/>
          <w:szCs w:val="24"/>
        </w:rPr>
        <w:t>24</w:t>
      </w:r>
      <w:r w:rsidRPr="003E3FA5">
        <w:rPr>
          <w:rFonts w:ascii="Times New Roman" w:eastAsia="Times New Roman" w:hAnsi="Times New Roman" w:cs="Times New Roman"/>
          <w:sz w:val="24"/>
          <w:szCs w:val="24"/>
        </w:rPr>
        <w:t>, 202</w:t>
      </w:r>
      <w:r w:rsidR="002B5EEA">
        <w:rPr>
          <w:rFonts w:ascii="Times New Roman" w:eastAsia="Times New Roman" w:hAnsi="Times New Roman" w:cs="Times New Roman"/>
          <w:sz w:val="24"/>
          <w:szCs w:val="24"/>
        </w:rPr>
        <w:t>3</w:t>
      </w:r>
    </w:p>
    <w:p w14:paraId="297282B7" w14:textId="77777777" w:rsidR="00D4732B" w:rsidRPr="003E3FA5" w:rsidRDefault="00D4732B" w:rsidP="009D7FFD">
      <w:pPr>
        <w:widowControl w:val="0"/>
        <w:spacing w:after="0" w:line="240" w:lineRule="auto"/>
        <w:ind w:left="1440" w:hanging="1440"/>
        <w:jc w:val="both"/>
        <w:rPr>
          <w:rFonts w:ascii="Times New Roman" w:eastAsia="Times New Roman" w:hAnsi="Times New Roman" w:cs="Times New Roman"/>
          <w:sz w:val="24"/>
          <w:szCs w:val="24"/>
        </w:rPr>
      </w:pPr>
    </w:p>
    <w:p w14:paraId="290D6A71" w14:textId="71DC55DE" w:rsidR="00D4732B" w:rsidRPr="003E3FA5" w:rsidRDefault="00D4732B" w:rsidP="009D7FFD">
      <w:pPr>
        <w:widowControl w:val="0"/>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Pr="00147CE5">
        <w:rPr>
          <w:rFonts w:ascii="Times New Roman" w:eastAsia="Times New Roman" w:hAnsi="Times New Roman" w:cs="Times New Roman"/>
          <w:bCs/>
          <w:sz w:val="24"/>
          <w:szCs w:val="24"/>
        </w:rPr>
        <w:t xml:space="preserve">Docket No. </w:t>
      </w:r>
      <w:r>
        <w:rPr>
          <w:rFonts w:ascii="Times New Roman" w:eastAsia="Times New Roman" w:hAnsi="Times New Roman" w:cs="Times New Roman"/>
          <w:bCs/>
          <w:iCs/>
          <w:sz w:val="24"/>
          <w:szCs w:val="24"/>
        </w:rPr>
        <w:t>5</w:t>
      </w:r>
      <w:r w:rsidR="002B5EEA">
        <w:rPr>
          <w:rFonts w:ascii="Times New Roman" w:eastAsia="Times New Roman" w:hAnsi="Times New Roman" w:cs="Times New Roman"/>
          <w:bCs/>
          <w:iCs/>
          <w:sz w:val="24"/>
          <w:szCs w:val="24"/>
        </w:rPr>
        <w:t>4019</w:t>
      </w:r>
      <w:r w:rsidRPr="00147CE5">
        <w:rPr>
          <w:rFonts w:ascii="Times New Roman" w:eastAsia="Times New Roman" w:hAnsi="Times New Roman" w:cs="Times New Roman"/>
          <w:bCs/>
          <w:i/>
          <w:iCs/>
          <w:sz w:val="24"/>
          <w:szCs w:val="24"/>
        </w:rPr>
        <w:t xml:space="preserve"> – </w:t>
      </w:r>
      <w:bookmarkEnd w:id="0"/>
      <w:r w:rsidRPr="00147CE5">
        <w:rPr>
          <w:rFonts w:ascii="Times New Roman" w:eastAsia="Times New Roman" w:hAnsi="Times New Roman" w:cs="Times New Roman"/>
          <w:bCs/>
          <w:i/>
          <w:iCs/>
          <w:sz w:val="24"/>
          <w:szCs w:val="24"/>
        </w:rPr>
        <w:t>Application of</w:t>
      </w:r>
      <w:r>
        <w:rPr>
          <w:rFonts w:ascii="Times New Roman" w:eastAsia="Times New Roman" w:hAnsi="Times New Roman" w:cs="Times New Roman"/>
          <w:bCs/>
          <w:i/>
          <w:iCs/>
          <w:sz w:val="24"/>
          <w:szCs w:val="24"/>
        </w:rPr>
        <w:t xml:space="preserve"> CSWR-Texas Utility Operating Company, LLC and </w:t>
      </w:r>
      <w:r w:rsidR="006A00D2" w:rsidRPr="006A00D2">
        <w:rPr>
          <w:rFonts w:ascii="Times New Roman" w:eastAsia="Times New Roman" w:hAnsi="Times New Roman" w:cs="Times New Roman"/>
          <w:bCs/>
          <w:i/>
          <w:iCs/>
          <w:sz w:val="24"/>
          <w:szCs w:val="24"/>
        </w:rPr>
        <w:t>Ville D’Alsace Water Supply, LLC for Sale, Transfer, or Merger of Facilities and Certificate Rights in Medina County</w:t>
      </w:r>
    </w:p>
    <w:p w14:paraId="02B9413A" w14:textId="77777777" w:rsidR="00D4732B" w:rsidRPr="003E3FA5" w:rsidRDefault="00D4732B" w:rsidP="009D7FFD">
      <w:pPr>
        <w:spacing w:after="0" w:line="240" w:lineRule="auto"/>
        <w:jc w:val="both"/>
        <w:rPr>
          <w:rFonts w:ascii="Times New Roman" w:eastAsia="Times New Roman" w:hAnsi="Times New Roman" w:cs="Times New Roman"/>
          <w:sz w:val="24"/>
          <w:szCs w:val="24"/>
        </w:rPr>
      </w:pPr>
    </w:p>
    <w:p w14:paraId="18080F30" w14:textId="29BB206B" w:rsidR="00D4732B" w:rsidRDefault="006A00D2" w:rsidP="009D7FFD">
      <w:pPr>
        <w:spacing w:after="120" w:line="360" w:lineRule="auto"/>
        <w:ind w:firstLine="720"/>
        <w:jc w:val="both"/>
        <w:rPr>
          <w:rFonts w:ascii="Times New Roman" w:eastAsia="Times New Roman" w:hAnsi="Times New Roman" w:cs="Times New Roman"/>
          <w:sz w:val="24"/>
          <w:szCs w:val="24"/>
        </w:rPr>
      </w:pPr>
      <w:r w:rsidRPr="006A00D2">
        <w:rPr>
          <w:rFonts w:ascii="Times New Roman" w:eastAsia="Times New Roman" w:hAnsi="Times New Roman" w:cs="Times New Roman"/>
          <w:sz w:val="24"/>
          <w:szCs w:val="24"/>
        </w:rPr>
        <w:t>On August 31, 2022, CSWR-Texas Utility Operating Company (CSWR</w:t>
      </w:r>
      <w:r w:rsidR="00872E59">
        <w:rPr>
          <w:rFonts w:ascii="Times New Roman" w:eastAsia="Times New Roman" w:hAnsi="Times New Roman" w:cs="Times New Roman"/>
          <w:sz w:val="24"/>
          <w:szCs w:val="24"/>
        </w:rPr>
        <w:t>-Texas</w:t>
      </w:r>
      <w:r w:rsidRPr="006A00D2">
        <w:rPr>
          <w:rFonts w:ascii="Times New Roman" w:eastAsia="Times New Roman" w:hAnsi="Times New Roman" w:cs="Times New Roman"/>
          <w:sz w:val="24"/>
          <w:szCs w:val="24"/>
        </w:rPr>
        <w:t>), CCN No. 13290, and Ville D’ Alsace Water Supply Company (Ville D’ Alsace) filed an application for the sale and transfer of facilities and certificate rights in</w:t>
      </w:r>
      <w:r w:rsidR="00D4732B" w:rsidRPr="00AC0F7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Medina</w:t>
      </w:r>
      <w:r w:rsidR="00D4732B">
        <w:rPr>
          <w:rFonts w:ascii="Times New Roman" w:eastAsia="Times New Roman" w:hAnsi="Times New Roman" w:cs="Times New Roman"/>
          <w:sz w:val="24"/>
          <w:szCs w:val="24"/>
        </w:rPr>
        <w:t xml:space="preserve"> County</w:t>
      </w:r>
      <w:r w:rsidR="00D4732B" w:rsidRPr="00AC0F73">
        <w:rPr>
          <w:rFonts w:ascii="Times New Roman" w:eastAsia="Times New Roman" w:hAnsi="Times New Roman" w:cs="Times New Roman"/>
          <w:sz w:val="24"/>
          <w:szCs w:val="24"/>
        </w:rPr>
        <w:t xml:space="preserve"> under the provisions of Texas Water Code § 13.301 and 16 Texas Administrative Code § 24.239. </w:t>
      </w:r>
    </w:p>
    <w:p w14:paraId="114360FC" w14:textId="2FCF01FA" w:rsidR="00AA4644" w:rsidRDefault="00EC0E45" w:rsidP="009D7FFD">
      <w:pPr>
        <w:spacing w:after="120" w:line="360" w:lineRule="auto"/>
        <w:ind w:firstLine="720"/>
        <w:jc w:val="both"/>
        <w:rPr>
          <w:rFonts w:ascii="Times New Roman" w:eastAsia="Times New Roman" w:hAnsi="Times New Roman" w:cs="Times New Roman"/>
          <w:sz w:val="24"/>
          <w:szCs w:val="24"/>
        </w:rPr>
      </w:pPr>
      <w:r w:rsidRPr="00EC0E45">
        <w:rPr>
          <w:rFonts w:ascii="Times New Roman" w:eastAsia="Times New Roman" w:hAnsi="Times New Roman" w:cs="Times New Roman"/>
          <w:sz w:val="24"/>
          <w:szCs w:val="24"/>
        </w:rPr>
        <w:t>On May 3</w:t>
      </w:r>
      <w:r>
        <w:rPr>
          <w:rFonts w:ascii="Times New Roman" w:eastAsia="Times New Roman" w:hAnsi="Times New Roman" w:cs="Times New Roman"/>
          <w:sz w:val="24"/>
          <w:szCs w:val="24"/>
        </w:rPr>
        <w:t>1</w:t>
      </w:r>
      <w:r w:rsidRPr="00EC0E45">
        <w:rPr>
          <w:rFonts w:ascii="Times New Roman" w:eastAsia="Times New Roman" w:hAnsi="Times New Roman" w:cs="Times New Roman"/>
          <w:sz w:val="24"/>
          <w:szCs w:val="24"/>
        </w:rPr>
        <w:t xml:space="preserve">, 2023, the administrative law judge issued Order No. </w:t>
      </w:r>
      <w:r>
        <w:rPr>
          <w:rFonts w:ascii="Times New Roman" w:eastAsia="Times New Roman" w:hAnsi="Times New Roman" w:cs="Times New Roman"/>
          <w:sz w:val="24"/>
          <w:szCs w:val="24"/>
        </w:rPr>
        <w:t>8</w:t>
      </w:r>
      <w:r w:rsidRPr="00EC0E45">
        <w:rPr>
          <w:rFonts w:ascii="Times New Roman" w:eastAsia="Times New Roman" w:hAnsi="Times New Roman" w:cs="Times New Roman"/>
          <w:sz w:val="24"/>
          <w:szCs w:val="24"/>
        </w:rPr>
        <w:t>, requiring staff to file a recommendation on the loan documentation or good cause exception provided by CSWR-Texas.</w:t>
      </w:r>
    </w:p>
    <w:p w14:paraId="5B1A8409" w14:textId="0FE91E9E" w:rsidR="00692350" w:rsidRDefault="00FF21A9" w:rsidP="00104E02">
      <w:pPr>
        <w:spacing w:after="120" w:line="360" w:lineRule="auto"/>
        <w:ind w:firstLine="720"/>
        <w:jc w:val="both"/>
        <w:rPr>
          <w:rFonts w:ascii="Times New Roman" w:hAnsi="Times New Roman" w:cs="Times New Roman"/>
          <w:sz w:val="24"/>
          <w:szCs w:val="24"/>
        </w:rPr>
      </w:pPr>
      <w:r>
        <w:rPr>
          <w:rFonts w:ascii="Times New Roman" w:eastAsia="Times New Roman" w:hAnsi="Times New Roman" w:cs="Times New Roman"/>
          <w:sz w:val="24"/>
          <w:szCs w:val="24"/>
        </w:rPr>
        <w:t xml:space="preserve">Staff notes that 16 TAC § 24.11(e)(5)(B) allows the owner to meet the test by providing loan approval documents </w:t>
      </w:r>
      <w:r w:rsidRPr="00CF1E0B">
        <w:rPr>
          <w:rFonts w:ascii="Times New Roman" w:eastAsia="Times New Roman" w:hAnsi="Times New Roman" w:cs="Times New Roman"/>
          <w:sz w:val="24"/>
          <w:szCs w:val="24"/>
        </w:rPr>
        <w:t>or</w:t>
      </w:r>
      <w:r>
        <w:rPr>
          <w:rFonts w:ascii="Times New Roman" w:eastAsia="Times New Roman" w:hAnsi="Times New Roman" w:cs="Times New Roman"/>
          <w:sz w:val="24"/>
          <w:szCs w:val="24"/>
        </w:rPr>
        <w:t xml:space="preserve"> firm capital commitments.  At the February 16, 2023 open meeting, the Commission elaborated upon its previous discussion regarding these requirements at the October 6, 2022 open meeting.  The Commissioners clarified that audited financial statements showing an adequate cash surplus were sufficient proof of financial assurance</w:t>
      </w:r>
      <w:r w:rsidR="00587C6D">
        <w:rPr>
          <w:rFonts w:ascii="Times New Roman" w:eastAsia="Times New Roman" w:hAnsi="Times New Roman" w:cs="Times New Roman"/>
          <w:sz w:val="24"/>
          <w:szCs w:val="24"/>
        </w:rPr>
        <w:t>.</w:t>
      </w:r>
      <w:r w:rsidR="00587C6D" w:rsidRPr="00587C6D">
        <w:rPr>
          <w:rStyle w:val="EndnoteReference"/>
          <w:rFonts w:ascii="Times New Roman" w:hAnsi="Times New Roman" w:cs="Times New Roman"/>
          <w:sz w:val="24"/>
          <w:szCs w:val="24"/>
        </w:rPr>
        <w:t xml:space="preserve"> </w:t>
      </w:r>
      <w:r w:rsidR="00587C6D">
        <w:rPr>
          <w:rStyle w:val="EndnoteReference"/>
          <w:rFonts w:ascii="Times New Roman" w:hAnsi="Times New Roman" w:cs="Times New Roman"/>
          <w:sz w:val="24"/>
          <w:szCs w:val="24"/>
        </w:rPr>
        <w:endnoteReference w:id="1"/>
      </w:r>
    </w:p>
    <w:p w14:paraId="7ABE52B6" w14:textId="49535015" w:rsidR="00C74679" w:rsidRPr="00376E5F" w:rsidRDefault="00104E02" w:rsidP="00104E02">
      <w:pPr>
        <w:spacing w:after="120" w:line="360" w:lineRule="auto"/>
        <w:ind w:firstLine="720"/>
        <w:jc w:val="both"/>
        <w:rPr>
          <w:rFonts w:ascii="Times New Roman" w:hAnsi="Times New Roman" w:cs="Times New Roman"/>
          <w:sz w:val="24"/>
          <w:szCs w:val="24"/>
        </w:rPr>
      </w:pPr>
      <w:r w:rsidRPr="00104E02">
        <w:rPr>
          <w:rFonts w:ascii="Times New Roman" w:hAnsi="Times New Roman" w:cs="Times New Roman"/>
          <w:sz w:val="24"/>
          <w:szCs w:val="24"/>
        </w:rPr>
        <w:t>CSWR-Texas filed documentation demonstrating access to adequate</w:t>
      </w:r>
      <w:r w:rsidR="003F68D3">
        <w:rPr>
          <w:rFonts w:ascii="Times New Roman" w:hAnsi="Times New Roman" w:cs="Times New Roman"/>
          <w:sz w:val="24"/>
          <w:szCs w:val="24"/>
        </w:rPr>
        <w:t xml:space="preserve"> cash</w:t>
      </w:r>
      <w:r w:rsidRPr="00104E02">
        <w:rPr>
          <w:rFonts w:ascii="Times New Roman" w:hAnsi="Times New Roman" w:cs="Times New Roman"/>
          <w:sz w:val="24"/>
          <w:szCs w:val="24"/>
        </w:rPr>
        <w:t xml:space="preserve"> funding for this application, as well as CSWR-Texas’ pending applications</w:t>
      </w:r>
      <w:r w:rsidR="00AF4987">
        <w:rPr>
          <w:rFonts w:ascii="Times New Roman" w:hAnsi="Times New Roman" w:cs="Times New Roman"/>
          <w:sz w:val="24"/>
          <w:szCs w:val="24"/>
        </w:rPr>
        <w:t>,</w:t>
      </w:r>
      <w:r w:rsidRPr="00104E02">
        <w:rPr>
          <w:rFonts w:ascii="Times New Roman" w:hAnsi="Times New Roman" w:cs="Times New Roman"/>
          <w:sz w:val="24"/>
          <w:szCs w:val="24"/>
        </w:rPr>
        <w:t xml:space="preserve"> as indicated in confidential attachment FB-1.1.  CSWR-Texas’ parent has committed capital to pay for the capital improvements regarding this application and pending STM proceedings, and is capable, available, and willing to cover any temporary cash shortages and operating expense shortfalls in this and other STM proceedings.  CSWR-Texas submitted audited financial statements containing a cash and cash equivalents balance sufficient to pay for the purchase price of </w:t>
      </w:r>
      <w:r w:rsidR="001F3522" w:rsidRPr="001F3522">
        <w:rPr>
          <w:rFonts w:ascii="Times New Roman" w:hAnsi="Times New Roman" w:cs="Times New Roman"/>
          <w:sz w:val="24"/>
          <w:szCs w:val="24"/>
        </w:rPr>
        <w:t>Ville D’ Alsace</w:t>
      </w:r>
      <w:r w:rsidRPr="00104E02">
        <w:rPr>
          <w:rFonts w:ascii="Times New Roman" w:hAnsi="Times New Roman" w:cs="Times New Roman"/>
          <w:sz w:val="24"/>
          <w:szCs w:val="24"/>
        </w:rPr>
        <w:t xml:space="preserve">, the remaining systems’ purchase </w:t>
      </w:r>
      <w:r w:rsidRPr="00104E02">
        <w:rPr>
          <w:rFonts w:ascii="Times New Roman" w:hAnsi="Times New Roman" w:cs="Times New Roman"/>
          <w:sz w:val="24"/>
          <w:szCs w:val="24"/>
        </w:rPr>
        <w:lastRenderedPageBreak/>
        <w:t xml:space="preserve">prices, </w:t>
      </w:r>
      <w:r w:rsidR="001F3522" w:rsidRPr="001F3522">
        <w:rPr>
          <w:rFonts w:ascii="Times New Roman" w:hAnsi="Times New Roman" w:cs="Times New Roman"/>
          <w:sz w:val="24"/>
          <w:szCs w:val="24"/>
        </w:rPr>
        <w:t>Ville D’ Alsace</w:t>
      </w:r>
      <w:r w:rsidRPr="00104E02">
        <w:rPr>
          <w:rFonts w:ascii="Times New Roman" w:hAnsi="Times New Roman" w:cs="Times New Roman"/>
          <w:sz w:val="24"/>
          <w:szCs w:val="24"/>
        </w:rPr>
        <w:t>’</w:t>
      </w:r>
      <w:r w:rsidR="003879C2">
        <w:rPr>
          <w:rFonts w:ascii="Times New Roman" w:hAnsi="Times New Roman" w:cs="Times New Roman"/>
          <w:sz w:val="24"/>
          <w:szCs w:val="24"/>
        </w:rPr>
        <w:t>s</w:t>
      </w:r>
      <w:r w:rsidRPr="00104E02">
        <w:rPr>
          <w:rFonts w:ascii="Times New Roman" w:hAnsi="Times New Roman" w:cs="Times New Roman"/>
          <w:sz w:val="24"/>
          <w:szCs w:val="24"/>
        </w:rPr>
        <w:t xml:space="preserve"> improvement cost, and the remaining systems’ improvements costs</w:t>
      </w:r>
      <w:r w:rsidR="00D87491" w:rsidRPr="00104E02">
        <w:rPr>
          <w:rFonts w:ascii="Times New Roman" w:hAnsi="Times New Roman" w:cs="Times New Roman"/>
          <w:sz w:val="24"/>
          <w:szCs w:val="24"/>
        </w:rPr>
        <w:t xml:space="preserve">.  </w:t>
      </w:r>
      <w:r w:rsidRPr="00104E02">
        <w:rPr>
          <w:rFonts w:ascii="Times New Roman" w:hAnsi="Times New Roman" w:cs="Times New Roman"/>
          <w:sz w:val="24"/>
          <w:szCs w:val="24"/>
        </w:rPr>
        <w:t>Therefore, I recommend a finding that CSWR-Texas provided adequate cash funding, a firm capital commitment, and that, if necessary, a good cause exception should be granted for 16 TAC § 24.11(e)(5)(A).</w:t>
      </w:r>
    </w:p>
    <w:sectPr w:rsidR="00C74679" w:rsidRPr="00376E5F" w:rsidSect="00DC0A57">
      <w:footerReference w:type="even" r:id="rId7"/>
      <w:footerReference w:type="default" r:id="rId8"/>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836BB" w14:textId="77777777" w:rsidR="008E5063" w:rsidRDefault="008E5063" w:rsidP="003E3FA5">
      <w:pPr>
        <w:spacing w:after="0" w:line="240" w:lineRule="auto"/>
      </w:pPr>
      <w:r>
        <w:separator/>
      </w:r>
    </w:p>
  </w:endnote>
  <w:endnote w:type="continuationSeparator" w:id="0">
    <w:p w14:paraId="5E03D801" w14:textId="77777777" w:rsidR="008E5063" w:rsidRDefault="008E5063" w:rsidP="003E3FA5">
      <w:pPr>
        <w:spacing w:after="0" w:line="240" w:lineRule="auto"/>
      </w:pPr>
      <w:r>
        <w:continuationSeparator/>
      </w:r>
    </w:p>
  </w:endnote>
  <w:endnote w:id="1">
    <w:p w14:paraId="75A85F33" w14:textId="77777777" w:rsidR="00587C6D" w:rsidRDefault="00587C6D" w:rsidP="00587C6D">
      <w:pPr>
        <w:pStyle w:val="EndnoteText"/>
        <w:tabs>
          <w:tab w:val="left" w:pos="180"/>
        </w:tabs>
        <w:ind w:firstLine="180"/>
        <w:rPr>
          <w:rFonts w:ascii="Times New Roman" w:hAnsi="Times New Roman" w:cs="Times New Roman"/>
        </w:rPr>
      </w:pPr>
      <w:r w:rsidRPr="00FA6C8D">
        <w:rPr>
          <w:rStyle w:val="EndnoteReference"/>
          <w:rFonts w:ascii="Times New Roman" w:hAnsi="Times New Roman" w:cs="Times New Roman"/>
          <w:sz w:val="24"/>
          <w:szCs w:val="24"/>
        </w:rPr>
        <w:endnoteRef/>
      </w:r>
      <w:r w:rsidRPr="00FA6C8D">
        <w:rPr>
          <w:rFonts w:ascii="Times New Roman" w:hAnsi="Times New Roman" w:cs="Times New Roman"/>
          <w:sz w:val="24"/>
          <w:szCs w:val="24"/>
        </w:rPr>
        <w:t xml:space="preserve"> </w:t>
      </w:r>
      <w:r w:rsidRPr="00FA6C8D">
        <w:rPr>
          <w:rFonts w:ascii="Times New Roman" w:hAnsi="Times New Roman" w:cs="Times New Roman"/>
        </w:rPr>
        <w:t xml:space="preserve">Open Meeting at 39:40 (Feb. 16, 2023), Item No. 3 (available at </w:t>
      </w:r>
      <w:hyperlink r:id="rId1" w:history="1">
        <w:r w:rsidRPr="00FA6C8D">
          <w:rPr>
            <w:rStyle w:val="Hyperlink"/>
            <w:rFonts w:ascii="Times New Roman" w:hAnsi="Times New Roman" w:cs="Times New Roman"/>
          </w:rPr>
          <w:t>https://www.adminmonitor.com/tx/puct/open_meeting/20230216/</w:t>
        </w:r>
      </w:hyperlink>
      <w:r>
        <w:rPr>
          <w:rFonts w:ascii="Times New Roman" w:hAnsi="Times New Roman" w:cs="Times New Roman"/>
        </w:rPr>
        <w:t>.)</w:t>
      </w:r>
    </w:p>
    <w:p w14:paraId="5759178B" w14:textId="77777777" w:rsidR="00587C6D" w:rsidRPr="00FA6C8D" w:rsidRDefault="00587C6D" w:rsidP="00587C6D">
      <w:pPr>
        <w:pStyle w:val="EndnoteText"/>
        <w:tabs>
          <w:tab w:val="left" w:pos="180"/>
        </w:tabs>
        <w:ind w:firstLine="180"/>
        <w:rPr>
          <w:rFonts w:ascii="Times New Roman" w:hAnsi="Times New Roman" w:cs="Times New Roman"/>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C97C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C97CC2">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A9D55" w14:textId="77777777" w:rsidR="008E5063" w:rsidRDefault="008E5063" w:rsidP="003E3FA5">
      <w:pPr>
        <w:spacing w:after="0" w:line="240" w:lineRule="auto"/>
      </w:pPr>
      <w:r>
        <w:separator/>
      </w:r>
    </w:p>
  </w:footnote>
  <w:footnote w:type="continuationSeparator" w:id="0">
    <w:p w14:paraId="41D8BCAB" w14:textId="77777777" w:rsidR="008E5063" w:rsidRDefault="008E5063" w:rsidP="003E3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PersonalInformation/>
  <w:removeDateAndTime/>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3118A"/>
    <w:rsid w:val="0003547D"/>
    <w:rsid w:val="0006128D"/>
    <w:rsid w:val="000658D7"/>
    <w:rsid w:val="0007160F"/>
    <w:rsid w:val="00084F87"/>
    <w:rsid w:val="0009457B"/>
    <w:rsid w:val="000A798A"/>
    <w:rsid w:val="000F4326"/>
    <w:rsid w:val="000F6F5D"/>
    <w:rsid w:val="00104E02"/>
    <w:rsid w:val="001102DB"/>
    <w:rsid w:val="00116B77"/>
    <w:rsid w:val="001234C4"/>
    <w:rsid w:val="0013261C"/>
    <w:rsid w:val="00133D92"/>
    <w:rsid w:val="00147CE5"/>
    <w:rsid w:val="001662BC"/>
    <w:rsid w:val="001D4956"/>
    <w:rsid w:val="001F3522"/>
    <w:rsid w:val="001F4ACA"/>
    <w:rsid w:val="00204D19"/>
    <w:rsid w:val="0021318A"/>
    <w:rsid w:val="002149AE"/>
    <w:rsid w:val="00256BA8"/>
    <w:rsid w:val="0026077E"/>
    <w:rsid w:val="00284379"/>
    <w:rsid w:val="002B55D4"/>
    <w:rsid w:val="002B5EEA"/>
    <w:rsid w:val="002E39ED"/>
    <w:rsid w:val="00363697"/>
    <w:rsid w:val="00372923"/>
    <w:rsid w:val="00376E5F"/>
    <w:rsid w:val="003829B2"/>
    <w:rsid w:val="00385F9C"/>
    <w:rsid w:val="003879C2"/>
    <w:rsid w:val="003B2063"/>
    <w:rsid w:val="003C025A"/>
    <w:rsid w:val="003C1F2C"/>
    <w:rsid w:val="003E3FA5"/>
    <w:rsid w:val="003F68D3"/>
    <w:rsid w:val="004037C0"/>
    <w:rsid w:val="004412BD"/>
    <w:rsid w:val="00446D9B"/>
    <w:rsid w:val="00464080"/>
    <w:rsid w:val="004B0438"/>
    <w:rsid w:val="004C14F6"/>
    <w:rsid w:val="004D4845"/>
    <w:rsid w:val="00512787"/>
    <w:rsid w:val="00512930"/>
    <w:rsid w:val="00533AB6"/>
    <w:rsid w:val="00536C1B"/>
    <w:rsid w:val="00556639"/>
    <w:rsid w:val="00587C6D"/>
    <w:rsid w:val="005C50C8"/>
    <w:rsid w:val="005E58E5"/>
    <w:rsid w:val="005E707D"/>
    <w:rsid w:val="00603BF5"/>
    <w:rsid w:val="0063274E"/>
    <w:rsid w:val="00633C49"/>
    <w:rsid w:val="00635BC4"/>
    <w:rsid w:val="00636D72"/>
    <w:rsid w:val="0064168C"/>
    <w:rsid w:val="00660C9F"/>
    <w:rsid w:val="00662901"/>
    <w:rsid w:val="00665F4A"/>
    <w:rsid w:val="00687D45"/>
    <w:rsid w:val="00692350"/>
    <w:rsid w:val="006A00D2"/>
    <w:rsid w:val="006A4FB6"/>
    <w:rsid w:val="006B6D0E"/>
    <w:rsid w:val="006C6834"/>
    <w:rsid w:val="006E24D8"/>
    <w:rsid w:val="006E6EEE"/>
    <w:rsid w:val="006F5466"/>
    <w:rsid w:val="0070170C"/>
    <w:rsid w:val="0070258A"/>
    <w:rsid w:val="007268C5"/>
    <w:rsid w:val="00757FA2"/>
    <w:rsid w:val="0076246A"/>
    <w:rsid w:val="007700A2"/>
    <w:rsid w:val="00792257"/>
    <w:rsid w:val="007943DE"/>
    <w:rsid w:val="007A4DA5"/>
    <w:rsid w:val="007B20B0"/>
    <w:rsid w:val="007C0B64"/>
    <w:rsid w:val="007D0A6F"/>
    <w:rsid w:val="007E628F"/>
    <w:rsid w:val="00803DED"/>
    <w:rsid w:val="008226D4"/>
    <w:rsid w:val="00826DED"/>
    <w:rsid w:val="00852F19"/>
    <w:rsid w:val="00872E59"/>
    <w:rsid w:val="008863E8"/>
    <w:rsid w:val="0088694A"/>
    <w:rsid w:val="00891293"/>
    <w:rsid w:val="008D2981"/>
    <w:rsid w:val="008D6429"/>
    <w:rsid w:val="008D6FA6"/>
    <w:rsid w:val="008E5063"/>
    <w:rsid w:val="00900045"/>
    <w:rsid w:val="00902CAA"/>
    <w:rsid w:val="009130FE"/>
    <w:rsid w:val="00961A50"/>
    <w:rsid w:val="00973928"/>
    <w:rsid w:val="00987282"/>
    <w:rsid w:val="009A12BA"/>
    <w:rsid w:val="009C0DD2"/>
    <w:rsid w:val="009D7FFD"/>
    <w:rsid w:val="00A173E8"/>
    <w:rsid w:val="00A42084"/>
    <w:rsid w:val="00A85843"/>
    <w:rsid w:val="00A968B9"/>
    <w:rsid w:val="00AA4644"/>
    <w:rsid w:val="00AC0F73"/>
    <w:rsid w:val="00AC1B94"/>
    <w:rsid w:val="00AE0B2D"/>
    <w:rsid w:val="00AE4987"/>
    <w:rsid w:val="00AF4987"/>
    <w:rsid w:val="00B10619"/>
    <w:rsid w:val="00B1367C"/>
    <w:rsid w:val="00B31B3D"/>
    <w:rsid w:val="00B52332"/>
    <w:rsid w:val="00B80159"/>
    <w:rsid w:val="00BA5465"/>
    <w:rsid w:val="00BB2C20"/>
    <w:rsid w:val="00BF176F"/>
    <w:rsid w:val="00C011C1"/>
    <w:rsid w:val="00C0242A"/>
    <w:rsid w:val="00C25294"/>
    <w:rsid w:val="00C74679"/>
    <w:rsid w:val="00C97CC2"/>
    <w:rsid w:val="00CB3015"/>
    <w:rsid w:val="00CB39E8"/>
    <w:rsid w:val="00CB6FF5"/>
    <w:rsid w:val="00CE7231"/>
    <w:rsid w:val="00D2096B"/>
    <w:rsid w:val="00D31991"/>
    <w:rsid w:val="00D4732B"/>
    <w:rsid w:val="00D52DC0"/>
    <w:rsid w:val="00D7314A"/>
    <w:rsid w:val="00D73FFD"/>
    <w:rsid w:val="00D82FD0"/>
    <w:rsid w:val="00D85781"/>
    <w:rsid w:val="00D87491"/>
    <w:rsid w:val="00D9105A"/>
    <w:rsid w:val="00E054DD"/>
    <w:rsid w:val="00E615DF"/>
    <w:rsid w:val="00EA0270"/>
    <w:rsid w:val="00EC0E45"/>
    <w:rsid w:val="00EE489A"/>
    <w:rsid w:val="00EF2CA2"/>
    <w:rsid w:val="00EF5CEE"/>
    <w:rsid w:val="00EF63CD"/>
    <w:rsid w:val="00EF7E43"/>
    <w:rsid w:val="00F13820"/>
    <w:rsid w:val="00F21E89"/>
    <w:rsid w:val="00F458B6"/>
    <w:rsid w:val="00F554E5"/>
    <w:rsid w:val="00F618D3"/>
    <w:rsid w:val="00F65A84"/>
    <w:rsid w:val="00F7391A"/>
    <w:rsid w:val="00F81C5D"/>
    <w:rsid w:val="00FA6C8D"/>
    <w:rsid w:val="00FC2566"/>
    <w:rsid w:val="00FC7CAB"/>
    <w:rsid w:val="00FE31E0"/>
    <w:rsid w:val="00FE7E7A"/>
    <w:rsid w:val="00FF2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2DC4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 w:type="paragraph" w:styleId="Revision">
    <w:name w:val="Revision"/>
    <w:hidden/>
    <w:uiPriority w:val="99"/>
    <w:semiHidden/>
    <w:rsid w:val="00AF4987"/>
    <w:pPr>
      <w:spacing w:after="0" w:line="240" w:lineRule="auto"/>
    </w:pPr>
  </w:style>
  <w:style w:type="paragraph" w:styleId="EndnoteText">
    <w:name w:val="endnote text"/>
    <w:basedOn w:val="Normal"/>
    <w:link w:val="EndnoteTextChar"/>
    <w:uiPriority w:val="99"/>
    <w:semiHidden/>
    <w:unhideWhenUsed/>
    <w:rsid w:val="0003118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3118A"/>
    <w:rPr>
      <w:sz w:val="20"/>
      <w:szCs w:val="20"/>
    </w:rPr>
  </w:style>
  <w:style w:type="character" w:styleId="EndnoteReference">
    <w:name w:val="endnote reference"/>
    <w:basedOn w:val="DefaultParagraphFont"/>
    <w:uiPriority w:val="99"/>
    <w:semiHidden/>
    <w:unhideWhenUsed/>
    <w:rsid w:val="0003118A"/>
    <w:rPr>
      <w:vertAlign w:val="superscript"/>
    </w:rPr>
  </w:style>
  <w:style w:type="character" w:styleId="Hyperlink">
    <w:name w:val="Hyperlink"/>
    <w:basedOn w:val="DefaultParagraphFont"/>
    <w:uiPriority w:val="99"/>
    <w:unhideWhenUsed/>
    <w:rsid w:val="0003547D"/>
    <w:rPr>
      <w:color w:val="0563C1" w:themeColor="hyperlink"/>
      <w:u w:val="single"/>
    </w:rPr>
  </w:style>
  <w:style w:type="character" w:styleId="UnresolvedMention">
    <w:name w:val="Unresolved Mention"/>
    <w:basedOn w:val="DefaultParagraphFont"/>
    <w:uiPriority w:val="99"/>
    <w:semiHidden/>
    <w:unhideWhenUsed/>
    <w:rsid w:val="000354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endnotes.xml.rels><?xml version="1.0" encoding="UTF-8" standalone="yes"?>
<Relationships xmlns="http://schemas.openxmlformats.org/package/2006/relationships"><Relationship Id="rId1" Type="http://schemas.openxmlformats.org/officeDocument/2006/relationships/hyperlink" Target="https://www.adminmonitor.com/tx/puct/open_meeting/2023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345</Words>
  <Characters>1973</Characters>
  <Application>Microsoft Office Word</Application>
  <DocSecurity>0</DocSecurity>
  <Lines>16</Lines>
  <Paragraphs>4</Paragraphs>
  <ScaleCrop>false</ScaleCrop>
  <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2023-08-24T17:16:00Z</dcterms:created>
  <dcterms:modified xsi:type="dcterms:W3CDTF">2023-08-24T17:16:00Z</dcterms:modified>
</cp:coreProperties>
</file>